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F49" w:rsidRPr="00931F49" w:rsidRDefault="00931F49" w:rsidP="00931F49">
      <w:pPr>
        <w:widowControl/>
        <w:spacing w:after="75" w:line="450" w:lineRule="atLeast"/>
        <w:ind w:firstLineChars="200" w:firstLine="480"/>
        <w:jc w:val="left"/>
        <w:rPr>
          <w:rFonts w:ascii="黑体" w:eastAsia="黑体" w:hAnsi="黑体" w:cs="宋体" w:hint="eastAsia"/>
          <w:color w:val="000000" w:themeColor="text1"/>
          <w:kern w:val="0"/>
          <w:sz w:val="24"/>
          <w:szCs w:val="24"/>
        </w:rPr>
      </w:pPr>
      <w:r w:rsidRPr="00931F49">
        <w:rPr>
          <w:rFonts w:ascii="黑体" w:eastAsia="黑体" w:hAnsi="黑体" w:cs="宋体" w:hint="eastAsia"/>
          <w:color w:val="000000" w:themeColor="text1"/>
          <w:kern w:val="0"/>
          <w:sz w:val="24"/>
          <w:szCs w:val="24"/>
        </w:rPr>
        <w:t>附件1</w:t>
      </w:r>
    </w:p>
    <w:p w:rsidR="005D4678" w:rsidRPr="005D4678" w:rsidRDefault="005D4678" w:rsidP="004568C1">
      <w:pPr>
        <w:widowControl/>
        <w:spacing w:after="75" w:line="450" w:lineRule="atLeast"/>
        <w:ind w:firstLineChars="200" w:firstLine="562"/>
        <w:jc w:val="left"/>
        <w:rPr>
          <w:rFonts w:asciiTheme="minorEastAsia" w:hAnsiTheme="minorEastAsia" w:cs="宋体"/>
          <w:b/>
          <w:color w:val="000000" w:themeColor="text1"/>
          <w:kern w:val="0"/>
          <w:sz w:val="28"/>
          <w:szCs w:val="24"/>
        </w:rPr>
      </w:pPr>
      <w:r w:rsidRPr="005D4678">
        <w:rPr>
          <w:rFonts w:asciiTheme="minorEastAsia" w:hAnsiTheme="minorEastAsia" w:cs="宋体"/>
          <w:b/>
          <w:color w:val="000000" w:themeColor="text1"/>
          <w:kern w:val="0"/>
          <w:sz w:val="28"/>
          <w:szCs w:val="24"/>
        </w:rPr>
        <w:t>论文注释的表述统一采用下列格式：</w:t>
      </w:r>
    </w:p>
    <w:p w:rsidR="005D4678" w:rsidRPr="005D4678" w:rsidRDefault="005D4678" w:rsidP="005D4678">
      <w:pPr>
        <w:widowControl/>
        <w:spacing w:before="75" w:after="75" w:line="450" w:lineRule="atLeast"/>
        <w:jc w:val="left"/>
        <w:rPr>
          <w:rFonts w:asciiTheme="minorEastAsia" w:hAnsiTheme="minorEastAsia" w:cs="宋体"/>
          <w:color w:val="000000" w:themeColor="text1"/>
          <w:kern w:val="0"/>
          <w:sz w:val="24"/>
          <w:szCs w:val="24"/>
        </w:rPr>
      </w:pPr>
      <w:r w:rsidRPr="005D4678">
        <w:rPr>
          <w:rFonts w:asciiTheme="minorEastAsia" w:hAnsiTheme="minorEastAsia" w:cs="宋体"/>
          <w:color w:val="000000" w:themeColor="text1"/>
          <w:kern w:val="0"/>
          <w:sz w:val="24"/>
          <w:szCs w:val="24"/>
        </w:rPr>
        <w:t xml:space="preserve">　　(1)引自著作的，表述格式为：作者：《书名》，××××出版社××××年版，第××页。如果所引注的著作为两人以上合著，则作者名并列，中间用顿号间隔，其他不变;如果所引注的著作为主编或编著类的著作，则在作者后加上“主编”或“编著”字样。例如：</w:t>
      </w:r>
    </w:p>
    <w:p w:rsidR="005D4678" w:rsidRPr="005D4678" w:rsidRDefault="005D4678" w:rsidP="005D4678">
      <w:pPr>
        <w:widowControl/>
        <w:spacing w:before="75" w:after="75" w:line="450" w:lineRule="atLeast"/>
        <w:jc w:val="left"/>
        <w:rPr>
          <w:rFonts w:asciiTheme="minorEastAsia" w:hAnsiTheme="minorEastAsia" w:cs="宋体"/>
          <w:color w:val="000000" w:themeColor="text1"/>
          <w:kern w:val="0"/>
          <w:sz w:val="24"/>
          <w:szCs w:val="24"/>
        </w:rPr>
      </w:pPr>
      <w:r w:rsidRPr="005D4678">
        <w:rPr>
          <w:rFonts w:asciiTheme="minorEastAsia" w:hAnsiTheme="minorEastAsia" w:cs="宋体"/>
          <w:color w:val="000000" w:themeColor="text1"/>
          <w:kern w:val="0"/>
          <w:sz w:val="24"/>
          <w:szCs w:val="24"/>
        </w:rPr>
        <w:t xml:space="preserve">　　</w:t>
      </w:r>
      <w:r w:rsidRPr="005D4678">
        <w:rPr>
          <w:rFonts w:asciiTheme="minorEastAsia" w:hAnsiTheme="minorEastAsia" w:cs="宋体" w:hint="eastAsia"/>
          <w:color w:val="000000" w:themeColor="text1"/>
          <w:kern w:val="0"/>
          <w:sz w:val="24"/>
          <w:szCs w:val="24"/>
        </w:rPr>
        <w:t>①</w:t>
      </w:r>
      <w:r w:rsidRPr="005D4678">
        <w:rPr>
          <w:rFonts w:asciiTheme="minorEastAsia" w:hAnsiTheme="minorEastAsia" w:cs="宋体"/>
          <w:color w:val="000000" w:themeColor="text1"/>
          <w:kern w:val="0"/>
          <w:sz w:val="24"/>
          <w:szCs w:val="24"/>
        </w:rPr>
        <w:t>王利明、崔建远：《合同法新论·总则》，中国政法大学出版社2000年版，第86页。</w:t>
      </w:r>
    </w:p>
    <w:p w:rsidR="005D4678" w:rsidRPr="005D4678" w:rsidRDefault="005D4678" w:rsidP="005D4678">
      <w:pPr>
        <w:widowControl/>
        <w:spacing w:before="75" w:after="75" w:line="450" w:lineRule="atLeast"/>
        <w:jc w:val="left"/>
        <w:rPr>
          <w:rFonts w:asciiTheme="minorEastAsia" w:hAnsiTheme="minorEastAsia" w:cs="宋体"/>
          <w:color w:val="000000" w:themeColor="text1"/>
          <w:kern w:val="0"/>
          <w:sz w:val="24"/>
          <w:szCs w:val="24"/>
        </w:rPr>
      </w:pPr>
      <w:r w:rsidRPr="005D4678">
        <w:rPr>
          <w:rFonts w:asciiTheme="minorEastAsia" w:hAnsiTheme="minorEastAsia" w:cs="宋体"/>
          <w:color w:val="000000" w:themeColor="text1"/>
          <w:kern w:val="0"/>
          <w:sz w:val="24"/>
          <w:szCs w:val="24"/>
        </w:rPr>
        <w:t xml:space="preserve">　　</w:t>
      </w:r>
      <w:r w:rsidRPr="005D4678">
        <w:rPr>
          <w:rFonts w:asciiTheme="minorEastAsia" w:hAnsiTheme="minorEastAsia" w:cs="宋体" w:hint="eastAsia"/>
          <w:color w:val="000000" w:themeColor="text1"/>
          <w:kern w:val="0"/>
          <w:sz w:val="24"/>
          <w:szCs w:val="24"/>
        </w:rPr>
        <w:t>②</w:t>
      </w:r>
      <w:r w:rsidRPr="005D4678">
        <w:rPr>
          <w:rFonts w:asciiTheme="minorEastAsia" w:hAnsiTheme="minorEastAsia" w:cs="宋体"/>
          <w:color w:val="000000" w:themeColor="text1"/>
          <w:kern w:val="0"/>
          <w:sz w:val="24"/>
          <w:szCs w:val="24"/>
        </w:rPr>
        <w:t>余能</w:t>
      </w:r>
      <w:proofErr w:type="gramStart"/>
      <w:r w:rsidRPr="005D4678">
        <w:rPr>
          <w:rFonts w:asciiTheme="minorEastAsia" w:hAnsiTheme="minorEastAsia" w:cs="宋体"/>
          <w:color w:val="000000" w:themeColor="text1"/>
          <w:kern w:val="0"/>
          <w:sz w:val="24"/>
          <w:szCs w:val="24"/>
        </w:rPr>
        <w:t>斌</w:t>
      </w:r>
      <w:proofErr w:type="gramEnd"/>
      <w:r w:rsidRPr="005D4678">
        <w:rPr>
          <w:rFonts w:asciiTheme="minorEastAsia" w:hAnsiTheme="minorEastAsia" w:cs="宋体"/>
          <w:color w:val="000000" w:themeColor="text1"/>
          <w:kern w:val="0"/>
          <w:sz w:val="24"/>
          <w:szCs w:val="24"/>
        </w:rPr>
        <w:t>主编：《民法学》，中国人民公安大学出版社、人民法院出版社2003年版，第189页。</w:t>
      </w:r>
    </w:p>
    <w:p w:rsidR="005D4678" w:rsidRPr="005D4678" w:rsidRDefault="005D4678" w:rsidP="005D4678">
      <w:pPr>
        <w:widowControl/>
        <w:spacing w:before="75" w:after="75" w:line="450" w:lineRule="atLeast"/>
        <w:jc w:val="left"/>
        <w:rPr>
          <w:rFonts w:asciiTheme="minorEastAsia" w:hAnsiTheme="minorEastAsia" w:cs="宋体"/>
          <w:color w:val="000000" w:themeColor="text1"/>
          <w:kern w:val="0"/>
          <w:sz w:val="24"/>
          <w:szCs w:val="24"/>
        </w:rPr>
      </w:pPr>
      <w:r w:rsidRPr="005D4678">
        <w:rPr>
          <w:rFonts w:asciiTheme="minorEastAsia" w:hAnsiTheme="minorEastAsia" w:cs="宋体"/>
          <w:color w:val="000000" w:themeColor="text1"/>
          <w:kern w:val="0"/>
          <w:sz w:val="24"/>
          <w:szCs w:val="24"/>
        </w:rPr>
        <w:t xml:space="preserve">　　(2)引自论文的，表述格式为：作者：《论文的篇名》，</w:t>
      </w:r>
      <w:r>
        <w:rPr>
          <w:rFonts w:asciiTheme="minorEastAsia" w:hAnsiTheme="minorEastAsia" w:cs="宋体" w:hint="eastAsia"/>
          <w:color w:val="000000" w:themeColor="text1"/>
          <w:kern w:val="0"/>
          <w:sz w:val="24"/>
          <w:szCs w:val="24"/>
        </w:rPr>
        <w:t>载</w:t>
      </w:r>
      <w:r w:rsidRPr="005D4678">
        <w:rPr>
          <w:rFonts w:asciiTheme="minorEastAsia" w:hAnsiTheme="minorEastAsia" w:cs="宋体"/>
          <w:color w:val="000000" w:themeColor="text1"/>
          <w:kern w:val="0"/>
          <w:sz w:val="24"/>
          <w:szCs w:val="24"/>
        </w:rPr>
        <w:t>《期刊杂志的名称》×××年第××期。例如：</w:t>
      </w:r>
    </w:p>
    <w:p w:rsidR="005D4678" w:rsidRPr="005D4678" w:rsidRDefault="005D4678" w:rsidP="005D4678">
      <w:pPr>
        <w:widowControl/>
        <w:spacing w:before="75" w:after="75" w:line="450" w:lineRule="atLeast"/>
        <w:jc w:val="left"/>
        <w:rPr>
          <w:rFonts w:asciiTheme="minorEastAsia" w:hAnsiTheme="minorEastAsia" w:cs="宋体"/>
          <w:color w:val="000000" w:themeColor="text1"/>
          <w:kern w:val="0"/>
          <w:sz w:val="24"/>
          <w:szCs w:val="24"/>
        </w:rPr>
      </w:pPr>
      <w:r w:rsidRPr="005D4678">
        <w:rPr>
          <w:rFonts w:asciiTheme="minorEastAsia" w:hAnsiTheme="minorEastAsia" w:cs="宋体"/>
          <w:color w:val="000000" w:themeColor="text1"/>
          <w:kern w:val="0"/>
          <w:sz w:val="24"/>
          <w:szCs w:val="24"/>
        </w:rPr>
        <w:t xml:space="preserve">　　王家福：《21世纪与中国民法的发展》，</w:t>
      </w:r>
      <w:r>
        <w:rPr>
          <w:rFonts w:asciiTheme="minorEastAsia" w:hAnsiTheme="minorEastAsia" w:cs="宋体" w:hint="eastAsia"/>
          <w:color w:val="000000" w:themeColor="text1"/>
          <w:kern w:val="0"/>
          <w:sz w:val="24"/>
          <w:szCs w:val="24"/>
        </w:rPr>
        <w:t>载</w:t>
      </w:r>
      <w:r w:rsidRPr="005D4678">
        <w:rPr>
          <w:rFonts w:asciiTheme="minorEastAsia" w:hAnsiTheme="minorEastAsia" w:cs="宋体"/>
          <w:color w:val="000000" w:themeColor="text1"/>
          <w:kern w:val="0"/>
          <w:sz w:val="24"/>
          <w:szCs w:val="24"/>
        </w:rPr>
        <w:t>《法学家》2003年第4期。</w:t>
      </w:r>
    </w:p>
    <w:p w:rsidR="005D4678" w:rsidRPr="005D4678" w:rsidRDefault="005D4678" w:rsidP="005D4678">
      <w:pPr>
        <w:widowControl/>
        <w:spacing w:before="75" w:after="75" w:line="450" w:lineRule="atLeast"/>
        <w:jc w:val="left"/>
        <w:rPr>
          <w:rFonts w:asciiTheme="minorEastAsia" w:hAnsiTheme="minorEastAsia" w:cs="宋体"/>
          <w:color w:val="000000" w:themeColor="text1"/>
          <w:kern w:val="0"/>
          <w:sz w:val="24"/>
          <w:szCs w:val="24"/>
        </w:rPr>
      </w:pPr>
      <w:r w:rsidRPr="005D4678">
        <w:rPr>
          <w:rFonts w:asciiTheme="minorEastAsia" w:hAnsiTheme="minorEastAsia" w:cs="宋体"/>
          <w:color w:val="000000" w:themeColor="text1"/>
          <w:kern w:val="0"/>
          <w:sz w:val="24"/>
          <w:szCs w:val="24"/>
        </w:rPr>
        <w:t xml:space="preserve">　　(3)引自报纸的，表述格式为：作者：《文章的篇名》，</w:t>
      </w:r>
      <w:r>
        <w:rPr>
          <w:rFonts w:asciiTheme="minorEastAsia" w:hAnsiTheme="minorEastAsia" w:cs="宋体" w:hint="eastAsia"/>
          <w:color w:val="000000" w:themeColor="text1"/>
          <w:kern w:val="0"/>
          <w:sz w:val="24"/>
          <w:szCs w:val="24"/>
        </w:rPr>
        <w:t>载</w:t>
      </w:r>
      <w:r w:rsidRPr="005D4678">
        <w:rPr>
          <w:rFonts w:asciiTheme="minorEastAsia" w:hAnsiTheme="minorEastAsia" w:cs="宋体"/>
          <w:color w:val="000000" w:themeColor="text1"/>
          <w:kern w:val="0"/>
          <w:sz w:val="24"/>
          <w:szCs w:val="24"/>
        </w:rPr>
        <w:t>《报纸名称》×××年××月××日第××版。</w:t>
      </w:r>
    </w:p>
    <w:p w:rsidR="005D4678" w:rsidRPr="005D4678" w:rsidRDefault="005D4678" w:rsidP="005D4678">
      <w:pPr>
        <w:widowControl/>
        <w:spacing w:before="75" w:after="75" w:line="450" w:lineRule="atLeast"/>
        <w:jc w:val="left"/>
        <w:rPr>
          <w:rFonts w:asciiTheme="minorEastAsia" w:hAnsiTheme="minorEastAsia" w:cs="宋体"/>
          <w:color w:val="000000" w:themeColor="text1"/>
          <w:kern w:val="0"/>
          <w:sz w:val="24"/>
          <w:szCs w:val="24"/>
        </w:rPr>
      </w:pPr>
      <w:r w:rsidRPr="005D4678">
        <w:rPr>
          <w:rFonts w:asciiTheme="minorEastAsia" w:hAnsiTheme="minorEastAsia" w:cs="宋体"/>
          <w:color w:val="000000" w:themeColor="text1"/>
          <w:kern w:val="0"/>
          <w:sz w:val="24"/>
          <w:szCs w:val="24"/>
        </w:rPr>
        <w:t xml:space="preserve">　　(4)引自译著的，表述格式为：[德]伯恩·魏德士：《法理学》</w:t>
      </w:r>
      <w:r>
        <w:rPr>
          <w:rFonts w:asciiTheme="minorEastAsia" w:hAnsiTheme="minorEastAsia" w:cs="宋体" w:hint="eastAsia"/>
          <w:color w:val="000000" w:themeColor="text1"/>
          <w:kern w:val="0"/>
          <w:sz w:val="24"/>
          <w:szCs w:val="24"/>
        </w:rPr>
        <w:t>，</w:t>
      </w:r>
      <w:r w:rsidRPr="005D4678">
        <w:rPr>
          <w:rFonts w:asciiTheme="minorEastAsia" w:hAnsiTheme="minorEastAsia" w:cs="宋体"/>
          <w:color w:val="000000" w:themeColor="text1"/>
          <w:kern w:val="0"/>
          <w:sz w:val="24"/>
          <w:szCs w:val="24"/>
        </w:rPr>
        <w:t>丁小春、吴越译，法律出版社2003年版，第16页。</w:t>
      </w:r>
    </w:p>
    <w:p w:rsidR="005D4678" w:rsidRPr="005D4678" w:rsidRDefault="005D4678" w:rsidP="005D4678">
      <w:pPr>
        <w:widowControl/>
        <w:spacing w:before="75" w:after="75" w:line="450" w:lineRule="atLeast"/>
        <w:jc w:val="left"/>
        <w:rPr>
          <w:rFonts w:asciiTheme="minorEastAsia" w:hAnsiTheme="minorEastAsia" w:cs="宋体"/>
          <w:color w:val="000000" w:themeColor="text1"/>
          <w:kern w:val="0"/>
          <w:sz w:val="24"/>
          <w:szCs w:val="24"/>
        </w:rPr>
      </w:pPr>
      <w:r w:rsidRPr="005D4678">
        <w:rPr>
          <w:rFonts w:asciiTheme="minorEastAsia" w:hAnsiTheme="minorEastAsia" w:cs="宋体"/>
          <w:color w:val="000000" w:themeColor="text1"/>
          <w:kern w:val="0"/>
          <w:sz w:val="24"/>
          <w:szCs w:val="24"/>
        </w:rPr>
        <w:t xml:space="preserve">　　(5)引自网络的，表述格式例如：</w:t>
      </w:r>
    </w:p>
    <w:p w:rsidR="005D4678" w:rsidRPr="005D4678" w:rsidRDefault="005D4678" w:rsidP="005D4678">
      <w:pPr>
        <w:widowControl/>
        <w:spacing w:before="75" w:after="75" w:line="450" w:lineRule="atLeast"/>
        <w:jc w:val="left"/>
        <w:rPr>
          <w:rFonts w:asciiTheme="minorEastAsia" w:hAnsiTheme="minorEastAsia" w:cs="宋体"/>
          <w:color w:val="000000" w:themeColor="text1"/>
          <w:kern w:val="0"/>
          <w:sz w:val="24"/>
          <w:szCs w:val="24"/>
        </w:rPr>
      </w:pPr>
      <w:r w:rsidRPr="005D4678">
        <w:rPr>
          <w:rFonts w:asciiTheme="minorEastAsia" w:hAnsiTheme="minorEastAsia" w:cs="宋体"/>
          <w:color w:val="000000" w:themeColor="text1"/>
          <w:kern w:val="0"/>
          <w:sz w:val="24"/>
          <w:szCs w:val="24"/>
        </w:rPr>
        <w:t xml:space="preserve">　　[美]W.N.赫菲尔德：《司法推理中应用的基本法律概念》，</w:t>
      </w:r>
      <w:proofErr w:type="gramStart"/>
      <w:r w:rsidRPr="005D4678">
        <w:rPr>
          <w:rFonts w:asciiTheme="minorEastAsia" w:hAnsiTheme="minorEastAsia" w:cs="宋体"/>
          <w:color w:val="000000" w:themeColor="text1"/>
          <w:kern w:val="0"/>
          <w:sz w:val="24"/>
          <w:szCs w:val="24"/>
        </w:rPr>
        <w:t>陈端洪译</w:t>
      </w:r>
      <w:proofErr w:type="gramEnd"/>
      <w:r>
        <w:rPr>
          <w:rFonts w:asciiTheme="minorEastAsia" w:hAnsiTheme="minorEastAsia" w:cs="宋体" w:hint="eastAsia"/>
          <w:color w:val="000000" w:themeColor="text1"/>
          <w:kern w:val="0"/>
          <w:sz w:val="24"/>
          <w:szCs w:val="24"/>
        </w:rPr>
        <w:t>，</w:t>
      </w:r>
      <w:r w:rsidRPr="005D4678">
        <w:rPr>
          <w:rFonts w:asciiTheme="minorEastAsia" w:hAnsiTheme="minorEastAsia" w:cs="宋体"/>
          <w:color w:val="000000" w:themeColor="text1"/>
          <w:kern w:val="0"/>
          <w:sz w:val="24"/>
          <w:szCs w:val="24"/>
        </w:rPr>
        <w:t>http://www.gongfa.com/chendhhuofeierde.htm.</w:t>
      </w:r>
    </w:p>
    <w:p w:rsidR="005D4678" w:rsidRPr="005D4678" w:rsidRDefault="005D4678" w:rsidP="005D4678">
      <w:pPr>
        <w:widowControl/>
        <w:spacing w:before="75" w:after="75" w:line="450" w:lineRule="atLeast"/>
        <w:jc w:val="left"/>
        <w:rPr>
          <w:rFonts w:asciiTheme="minorEastAsia" w:hAnsiTheme="minorEastAsia" w:cs="宋体"/>
          <w:color w:val="000000" w:themeColor="text1"/>
          <w:kern w:val="0"/>
          <w:sz w:val="24"/>
          <w:szCs w:val="24"/>
        </w:rPr>
      </w:pPr>
      <w:r w:rsidRPr="005D4678">
        <w:rPr>
          <w:rFonts w:asciiTheme="minorEastAsia" w:hAnsiTheme="minorEastAsia" w:cs="宋体"/>
          <w:color w:val="000000" w:themeColor="text1"/>
          <w:kern w:val="0"/>
          <w:sz w:val="24"/>
          <w:szCs w:val="24"/>
        </w:rPr>
        <w:t xml:space="preserve">　　(6)引自外文文献的，表述格式如下：</w:t>
      </w:r>
    </w:p>
    <w:p w:rsidR="005D4678" w:rsidRPr="005D4678" w:rsidRDefault="005D4678" w:rsidP="005D4678">
      <w:pPr>
        <w:widowControl/>
        <w:spacing w:before="75" w:after="75" w:line="450" w:lineRule="atLeast"/>
        <w:jc w:val="left"/>
        <w:rPr>
          <w:rFonts w:asciiTheme="minorEastAsia" w:hAnsiTheme="minorEastAsia" w:cs="宋体"/>
          <w:color w:val="000000" w:themeColor="text1"/>
          <w:kern w:val="0"/>
          <w:sz w:val="24"/>
          <w:szCs w:val="24"/>
        </w:rPr>
      </w:pPr>
      <w:r w:rsidRPr="005D4678">
        <w:rPr>
          <w:rFonts w:asciiTheme="minorEastAsia" w:hAnsiTheme="minorEastAsia" w:cs="宋体"/>
          <w:color w:val="000000" w:themeColor="text1"/>
          <w:kern w:val="0"/>
          <w:sz w:val="24"/>
          <w:szCs w:val="24"/>
        </w:rPr>
        <w:t xml:space="preserve">　　著作类如：</w:t>
      </w:r>
      <w:proofErr w:type="gramStart"/>
      <w:r w:rsidRPr="005D4678">
        <w:rPr>
          <w:rFonts w:asciiTheme="minorEastAsia" w:hAnsiTheme="minorEastAsia" w:cs="宋体"/>
          <w:color w:val="000000" w:themeColor="text1"/>
          <w:kern w:val="0"/>
          <w:sz w:val="24"/>
          <w:szCs w:val="24"/>
        </w:rPr>
        <w:t>H .</w:t>
      </w:r>
      <w:proofErr w:type="gramEnd"/>
      <w:r w:rsidRPr="005D4678">
        <w:rPr>
          <w:rFonts w:asciiTheme="minorEastAsia" w:hAnsiTheme="minorEastAsia" w:cs="宋体"/>
          <w:color w:val="000000" w:themeColor="text1"/>
          <w:kern w:val="0"/>
          <w:sz w:val="24"/>
          <w:szCs w:val="24"/>
        </w:rPr>
        <w:t xml:space="preserve"> </w:t>
      </w:r>
      <w:proofErr w:type="gramStart"/>
      <w:r w:rsidRPr="005D4678">
        <w:rPr>
          <w:rFonts w:asciiTheme="minorEastAsia" w:hAnsiTheme="minorEastAsia" w:cs="宋体"/>
          <w:color w:val="000000" w:themeColor="text1"/>
          <w:kern w:val="0"/>
          <w:sz w:val="24"/>
          <w:szCs w:val="24"/>
        </w:rPr>
        <w:t>H .</w:t>
      </w:r>
      <w:proofErr w:type="gramEnd"/>
      <w:r w:rsidRPr="005D4678">
        <w:rPr>
          <w:rFonts w:asciiTheme="minorEastAsia" w:hAnsiTheme="minorEastAsia" w:cs="宋体"/>
          <w:color w:val="000000" w:themeColor="text1"/>
          <w:kern w:val="0"/>
          <w:sz w:val="24"/>
          <w:szCs w:val="24"/>
        </w:rPr>
        <w:t xml:space="preserve"> </w:t>
      </w:r>
      <w:proofErr w:type="gramStart"/>
      <w:r w:rsidRPr="005D4678">
        <w:rPr>
          <w:rFonts w:asciiTheme="minorEastAsia" w:hAnsiTheme="minorEastAsia" w:cs="宋体"/>
          <w:color w:val="000000" w:themeColor="text1"/>
          <w:kern w:val="0"/>
          <w:sz w:val="24"/>
          <w:szCs w:val="24"/>
        </w:rPr>
        <w:t>Marshal ,</w:t>
      </w:r>
      <w:proofErr w:type="gramEnd"/>
      <w:r w:rsidRPr="005D4678">
        <w:rPr>
          <w:rFonts w:asciiTheme="minorEastAsia" w:hAnsiTheme="minorEastAsia" w:cs="宋体"/>
          <w:color w:val="000000" w:themeColor="text1"/>
          <w:kern w:val="0"/>
          <w:sz w:val="24"/>
          <w:szCs w:val="24"/>
        </w:rPr>
        <w:t xml:space="preserve"> Natural Justice , London : Sweet &amp; Maxwell ,1959 , p.8.</w:t>
      </w:r>
    </w:p>
    <w:p w:rsidR="005D4678" w:rsidRPr="005D4678" w:rsidRDefault="005D4678" w:rsidP="005D4678">
      <w:pPr>
        <w:widowControl/>
        <w:spacing w:before="75" w:after="75" w:line="450" w:lineRule="atLeast"/>
        <w:jc w:val="left"/>
        <w:rPr>
          <w:rFonts w:asciiTheme="minorEastAsia" w:hAnsiTheme="minorEastAsia" w:cs="宋体"/>
          <w:color w:val="000000" w:themeColor="text1"/>
          <w:kern w:val="0"/>
          <w:sz w:val="24"/>
          <w:szCs w:val="24"/>
        </w:rPr>
      </w:pPr>
      <w:r w:rsidRPr="005D4678">
        <w:rPr>
          <w:rFonts w:asciiTheme="minorEastAsia" w:hAnsiTheme="minorEastAsia" w:cs="宋体"/>
          <w:color w:val="000000" w:themeColor="text1"/>
          <w:kern w:val="0"/>
          <w:sz w:val="24"/>
          <w:szCs w:val="24"/>
        </w:rPr>
        <w:t xml:space="preserve">　　期刊论文类如：</w:t>
      </w:r>
      <w:proofErr w:type="gramStart"/>
      <w:r w:rsidRPr="005D4678">
        <w:rPr>
          <w:rFonts w:asciiTheme="minorEastAsia" w:hAnsiTheme="minorEastAsia" w:cs="宋体"/>
          <w:color w:val="000000" w:themeColor="text1"/>
          <w:kern w:val="0"/>
          <w:sz w:val="24"/>
          <w:szCs w:val="24"/>
        </w:rPr>
        <w:t>W .</w:t>
      </w:r>
      <w:proofErr w:type="gramEnd"/>
      <w:r w:rsidRPr="005D4678">
        <w:rPr>
          <w:rFonts w:asciiTheme="minorEastAsia" w:hAnsiTheme="minorEastAsia" w:cs="宋体"/>
          <w:color w:val="000000" w:themeColor="text1"/>
          <w:kern w:val="0"/>
          <w:sz w:val="24"/>
          <w:szCs w:val="24"/>
        </w:rPr>
        <w:t xml:space="preserve"> </w:t>
      </w:r>
      <w:proofErr w:type="spellStart"/>
      <w:proofErr w:type="gramStart"/>
      <w:r w:rsidRPr="005D4678">
        <w:rPr>
          <w:rFonts w:asciiTheme="minorEastAsia" w:hAnsiTheme="minorEastAsia" w:cs="宋体"/>
          <w:color w:val="000000" w:themeColor="text1"/>
          <w:kern w:val="0"/>
          <w:sz w:val="24"/>
          <w:szCs w:val="24"/>
        </w:rPr>
        <w:t>Stanners</w:t>
      </w:r>
      <w:proofErr w:type="spellEnd"/>
      <w:r w:rsidRPr="005D4678">
        <w:rPr>
          <w:rFonts w:asciiTheme="minorEastAsia" w:hAnsiTheme="minorEastAsia" w:cs="宋体"/>
          <w:color w:val="000000" w:themeColor="text1"/>
          <w:kern w:val="0"/>
          <w:sz w:val="24"/>
          <w:szCs w:val="24"/>
        </w:rPr>
        <w:t xml:space="preserve"> ,</w:t>
      </w:r>
      <w:proofErr w:type="gramEnd"/>
      <w:r w:rsidRPr="005D4678">
        <w:rPr>
          <w:rFonts w:asciiTheme="minorEastAsia" w:hAnsiTheme="minorEastAsia" w:cs="宋体"/>
          <w:color w:val="000000" w:themeColor="text1"/>
          <w:kern w:val="0"/>
          <w:sz w:val="24"/>
          <w:szCs w:val="24"/>
        </w:rPr>
        <w:t xml:space="preserve"> Inflation and Growth , Cambridge Journal of Economics , 1996 (20) , p.378 .</w:t>
      </w:r>
    </w:p>
    <w:p w:rsidR="005D4678" w:rsidRDefault="005D4678" w:rsidP="004568C1">
      <w:pPr>
        <w:widowControl/>
        <w:spacing w:before="75" w:line="450" w:lineRule="atLeast"/>
        <w:ind w:firstLine="480"/>
        <w:jc w:val="left"/>
        <w:rPr>
          <w:rFonts w:asciiTheme="minorEastAsia" w:hAnsiTheme="minorEastAsia" w:cs="宋体"/>
          <w:color w:val="000000" w:themeColor="text1"/>
          <w:kern w:val="0"/>
          <w:sz w:val="24"/>
          <w:szCs w:val="24"/>
        </w:rPr>
      </w:pPr>
      <w:r w:rsidRPr="005D4678">
        <w:rPr>
          <w:rFonts w:asciiTheme="minorEastAsia" w:hAnsiTheme="minorEastAsia" w:cs="宋体"/>
          <w:color w:val="000000" w:themeColor="text1"/>
          <w:kern w:val="0"/>
          <w:sz w:val="24"/>
          <w:szCs w:val="24"/>
        </w:rPr>
        <w:t>(7)凡著者(主编者)在4人以上的，只列第一名著者(主编者)名称，后加上“等”字。例如，刘少阳等(主编、编著)：………，其他同上述。</w:t>
      </w:r>
    </w:p>
    <w:p w:rsidR="007A34B9" w:rsidRDefault="007A34B9" w:rsidP="00931F49">
      <w:pPr>
        <w:widowControl/>
        <w:spacing w:before="75" w:line="450" w:lineRule="atLeast"/>
        <w:jc w:val="left"/>
        <w:rPr>
          <w:rFonts w:asciiTheme="minorEastAsia" w:hAnsiTheme="minorEastAsia" w:cs="宋体"/>
          <w:color w:val="000000" w:themeColor="text1"/>
          <w:kern w:val="0"/>
          <w:sz w:val="24"/>
          <w:szCs w:val="24"/>
        </w:rPr>
      </w:pPr>
    </w:p>
    <w:p w:rsidR="004568C1" w:rsidRDefault="007A34B9" w:rsidP="004568C1">
      <w:pPr>
        <w:widowControl/>
        <w:spacing w:before="75" w:line="450" w:lineRule="atLeast"/>
        <w:ind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论文格式示例：</w:t>
      </w:r>
    </w:p>
    <w:p w:rsidR="007A34B9" w:rsidRDefault="007A34B9" w:rsidP="004568C1">
      <w:pPr>
        <w:widowControl/>
        <w:spacing w:before="75" w:line="450" w:lineRule="atLeast"/>
        <w:ind w:firstLine="480"/>
        <w:jc w:val="left"/>
        <w:rPr>
          <w:rFonts w:asciiTheme="minorEastAsia" w:hAnsiTheme="minorEastAsia" w:cs="宋体"/>
          <w:color w:val="000000" w:themeColor="text1"/>
          <w:kern w:val="0"/>
          <w:sz w:val="24"/>
          <w:szCs w:val="24"/>
        </w:rPr>
      </w:pPr>
    </w:p>
    <w:p w:rsidR="004568C1" w:rsidRPr="004568C1" w:rsidRDefault="004568C1" w:rsidP="004568C1">
      <w:pPr>
        <w:spacing w:line="360" w:lineRule="exact"/>
        <w:jc w:val="center"/>
        <w:rPr>
          <w:rFonts w:ascii="黑体" w:eastAsia="黑体" w:hAnsi="黑体" w:cs="Times New Roman"/>
          <w:sz w:val="32"/>
          <w:szCs w:val="32"/>
        </w:rPr>
      </w:pPr>
      <w:r w:rsidRPr="004568C1">
        <w:rPr>
          <w:rFonts w:ascii="黑体" w:eastAsia="黑体" w:hAnsi="黑体" w:cs="Times New Roman"/>
          <w:sz w:val="32"/>
          <w:szCs w:val="32"/>
        </w:rPr>
        <w:t>刑事制定法与习惯法冲突之解决</w:t>
      </w:r>
    </w:p>
    <w:p w:rsidR="004568C1" w:rsidRPr="004568C1" w:rsidRDefault="004568C1" w:rsidP="004568C1">
      <w:pPr>
        <w:spacing w:line="360" w:lineRule="exact"/>
        <w:jc w:val="center"/>
        <w:rPr>
          <w:rFonts w:ascii="Times New Roman" w:eastAsia="宋体" w:hAnsi="Times New Roman" w:cs="Times New Roman"/>
          <w:szCs w:val="21"/>
        </w:rPr>
      </w:pPr>
      <w:r w:rsidRPr="004568C1">
        <w:rPr>
          <w:rFonts w:ascii="Times New Roman" w:eastAsia="宋体" w:hAnsi="Times New Roman" w:cs="Times New Roman"/>
          <w:szCs w:val="21"/>
        </w:rPr>
        <w:t>——</w:t>
      </w:r>
      <w:r w:rsidRPr="004568C1">
        <w:rPr>
          <w:rFonts w:ascii="Times New Roman" w:eastAsia="宋体" w:hAnsi="Times New Roman" w:cs="Times New Roman"/>
          <w:szCs w:val="21"/>
        </w:rPr>
        <w:t>论法教义学视野下习惯法的运行逻辑</w:t>
      </w:r>
    </w:p>
    <w:p w:rsidR="004568C1" w:rsidRPr="004568C1" w:rsidRDefault="004568C1" w:rsidP="004568C1">
      <w:pPr>
        <w:spacing w:line="360" w:lineRule="exact"/>
        <w:jc w:val="center"/>
        <w:rPr>
          <w:rFonts w:ascii="Times New Roman" w:eastAsia="宋体" w:hAnsi="Times New Roman" w:cs="Times New Roman"/>
          <w:szCs w:val="21"/>
        </w:rPr>
      </w:pPr>
    </w:p>
    <w:p w:rsidR="004568C1" w:rsidRPr="004568C1" w:rsidRDefault="00FA55A7" w:rsidP="004568C1">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XXX</w:t>
      </w:r>
      <w:r w:rsidR="004568C1">
        <w:rPr>
          <w:rStyle w:val="a6"/>
          <w:rFonts w:ascii="Times New Roman" w:eastAsia="宋体" w:hAnsi="Times New Roman" w:cs="Times New Roman"/>
          <w:szCs w:val="21"/>
        </w:rPr>
        <w:footnoteReference w:customMarkFollows="1" w:id="1"/>
        <w:t>*</w:t>
      </w:r>
    </w:p>
    <w:p w:rsidR="004568C1" w:rsidRPr="004568C1" w:rsidRDefault="004568C1" w:rsidP="004568C1">
      <w:pPr>
        <w:spacing w:line="360" w:lineRule="exact"/>
        <w:jc w:val="center"/>
        <w:rPr>
          <w:rFonts w:ascii="Times New Roman" w:eastAsia="宋体" w:hAnsi="Times New Roman" w:cs="Times New Roman"/>
          <w:szCs w:val="21"/>
        </w:rPr>
      </w:pPr>
      <w:r w:rsidRPr="004568C1">
        <w:rPr>
          <w:rFonts w:ascii="Times New Roman" w:eastAsia="宋体" w:hAnsi="Times New Roman" w:cs="Times New Roman"/>
          <w:szCs w:val="21"/>
        </w:rPr>
        <w:t>（</w:t>
      </w:r>
      <w:r w:rsidR="00FA55A7">
        <w:rPr>
          <w:rFonts w:ascii="Times New Roman" w:eastAsia="宋体" w:hAnsi="Times New Roman" w:cs="Times New Roman" w:hint="eastAsia"/>
          <w:szCs w:val="21"/>
        </w:rPr>
        <w:t>XX</w:t>
      </w:r>
      <w:r w:rsidRPr="004568C1">
        <w:rPr>
          <w:rFonts w:ascii="Times New Roman" w:eastAsia="宋体" w:hAnsi="Times New Roman" w:cs="Times New Roman"/>
          <w:szCs w:val="21"/>
        </w:rPr>
        <w:t>大学</w:t>
      </w:r>
      <w:r w:rsidRPr="004568C1">
        <w:rPr>
          <w:rFonts w:ascii="Times New Roman" w:eastAsia="宋体" w:hAnsi="Times New Roman" w:cs="Times New Roman"/>
          <w:szCs w:val="21"/>
        </w:rPr>
        <w:t xml:space="preserve"> </w:t>
      </w:r>
      <w:r w:rsidR="00FA55A7">
        <w:rPr>
          <w:rFonts w:ascii="Times New Roman" w:eastAsia="宋体" w:hAnsi="Times New Roman" w:cs="Times New Roman" w:hint="eastAsia"/>
          <w:szCs w:val="21"/>
        </w:rPr>
        <w:t>XX</w:t>
      </w:r>
      <w:r w:rsidRPr="004568C1">
        <w:rPr>
          <w:rFonts w:ascii="Times New Roman" w:eastAsia="宋体" w:hAnsi="Times New Roman" w:cs="Times New Roman"/>
          <w:szCs w:val="21"/>
        </w:rPr>
        <w:t>院，海南</w:t>
      </w:r>
      <w:r w:rsidRPr="004568C1">
        <w:rPr>
          <w:rFonts w:ascii="Times New Roman" w:eastAsia="宋体" w:hAnsi="Times New Roman" w:cs="Times New Roman"/>
          <w:szCs w:val="21"/>
        </w:rPr>
        <w:t xml:space="preserve"> </w:t>
      </w:r>
      <w:r w:rsidRPr="004568C1">
        <w:rPr>
          <w:rFonts w:ascii="Times New Roman" w:eastAsia="宋体" w:hAnsi="Times New Roman" w:cs="Times New Roman"/>
          <w:szCs w:val="21"/>
        </w:rPr>
        <w:t>海口</w:t>
      </w:r>
      <w:r w:rsidRPr="004568C1">
        <w:rPr>
          <w:rFonts w:ascii="Times New Roman" w:eastAsia="宋体" w:hAnsi="Times New Roman" w:cs="Times New Roman"/>
          <w:szCs w:val="21"/>
        </w:rPr>
        <w:t xml:space="preserve"> 570228</w:t>
      </w:r>
      <w:r w:rsidRPr="004568C1">
        <w:rPr>
          <w:rFonts w:ascii="Times New Roman" w:eastAsia="宋体" w:hAnsi="Times New Roman" w:cs="Times New Roman"/>
          <w:szCs w:val="21"/>
        </w:rPr>
        <w:t>）</w:t>
      </w:r>
    </w:p>
    <w:p w:rsidR="004568C1" w:rsidRPr="004568C1" w:rsidRDefault="004568C1" w:rsidP="004568C1">
      <w:pPr>
        <w:spacing w:line="360" w:lineRule="exact"/>
        <w:jc w:val="center"/>
        <w:rPr>
          <w:rFonts w:ascii="Times New Roman" w:eastAsia="宋体" w:hAnsi="Times New Roman" w:cs="Times New Roman"/>
          <w:szCs w:val="21"/>
        </w:rPr>
      </w:pPr>
    </w:p>
    <w:p w:rsidR="004568C1" w:rsidRPr="004568C1" w:rsidRDefault="004568C1" w:rsidP="004568C1">
      <w:pPr>
        <w:spacing w:line="360" w:lineRule="exact"/>
        <w:ind w:firstLineChars="200" w:firstLine="422"/>
        <w:rPr>
          <w:rFonts w:ascii="Times New Roman" w:eastAsia="宋体" w:hAnsi="Times New Roman" w:cs="Times New Roman"/>
          <w:szCs w:val="21"/>
        </w:rPr>
      </w:pPr>
      <w:r w:rsidRPr="004568C1">
        <w:rPr>
          <w:rFonts w:ascii="Times New Roman" w:eastAsia="宋体" w:hAnsi="Times New Roman" w:cs="Times New Roman"/>
          <w:b/>
          <w:szCs w:val="21"/>
        </w:rPr>
        <w:t>摘</w:t>
      </w:r>
      <w:r w:rsidRPr="004568C1">
        <w:rPr>
          <w:rFonts w:ascii="Times New Roman" w:eastAsia="宋体" w:hAnsi="Times New Roman" w:cs="Times New Roman"/>
          <w:b/>
          <w:szCs w:val="21"/>
        </w:rPr>
        <w:t xml:space="preserve">  </w:t>
      </w:r>
      <w:r w:rsidRPr="004568C1">
        <w:rPr>
          <w:rFonts w:ascii="Times New Roman" w:eastAsia="宋体" w:hAnsi="Times New Roman" w:cs="Times New Roman"/>
          <w:b/>
          <w:szCs w:val="21"/>
        </w:rPr>
        <w:t>要：</w:t>
      </w:r>
      <w:r w:rsidRPr="004568C1">
        <w:rPr>
          <w:rFonts w:ascii="Times New Roman" w:eastAsia="宋体" w:hAnsi="Times New Roman" w:cs="Times New Roman"/>
          <w:szCs w:val="21"/>
        </w:rPr>
        <w:t>法教义学的路径可以缓解当前司法人员面对刑事制定法与习惯法冲突时所面临的尴尬。法教义学视野下习惯法的运行逻辑主要通过对犯罪成立要件的判断来实现。习惯法于规范构成要件要素和开放构成要件要素的认定中无疑具有较大运行空间，但为保证构成要件的定型性，在构成要件解释时，其他要素的解释应尽可能排除习惯法的影响。在违法性判断阶段，习惯法的判断主要是借助社会相当性理论来实现，由于违法的判断是实质的与具体的，因此习惯法在此的判断应当结合具体个案分析。最后，在有责性判断中，违法性认识尽管于理论上是</w:t>
      </w:r>
      <w:proofErr w:type="gramStart"/>
      <w:r w:rsidRPr="004568C1">
        <w:rPr>
          <w:rFonts w:ascii="Times New Roman" w:eastAsia="宋体" w:hAnsi="Times New Roman" w:cs="Times New Roman"/>
          <w:szCs w:val="21"/>
        </w:rPr>
        <w:t>习惯法出罪的</w:t>
      </w:r>
      <w:proofErr w:type="gramEnd"/>
      <w:r w:rsidRPr="004568C1">
        <w:rPr>
          <w:rFonts w:ascii="Times New Roman" w:eastAsia="宋体" w:hAnsi="Times New Roman" w:cs="Times New Roman"/>
          <w:szCs w:val="21"/>
        </w:rPr>
        <w:t>一条路径，但实际功用很小，更合适的路径应是期待可能性的判断，然目前对期待可能性之理解过于</w:t>
      </w:r>
      <w:proofErr w:type="gramStart"/>
      <w:r w:rsidRPr="004568C1">
        <w:rPr>
          <w:rFonts w:ascii="Times New Roman" w:eastAsia="宋体" w:hAnsi="Times New Roman" w:cs="Times New Roman"/>
          <w:szCs w:val="21"/>
        </w:rPr>
        <w:t>偏狭</w:t>
      </w:r>
      <w:proofErr w:type="gramEnd"/>
      <w:r w:rsidRPr="004568C1">
        <w:rPr>
          <w:rFonts w:ascii="Times New Roman" w:eastAsia="宋体" w:hAnsi="Times New Roman" w:cs="Times New Roman"/>
          <w:szCs w:val="21"/>
        </w:rPr>
        <w:t>，应</w:t>
      </w:r>
      <w:proofErr w:type="gramStart"/>
      <w:r w:rsidRPr="004568C1">
        <w:rPr>
          <w:rFonts w:ascii="Times New Roman" w:eastAsia="宋体" w:hAnsi="Times New Roman" w:cs="Times New Roman"/>
          <w:szCs w:val="21"/>
        </w:rPr>
        <w:t>依规范</w:t>
      </w:r>
      <w:proofErr w:type="gramEnd"/>
      <w:r w:rsidRPr="004568C1">
        <w:rPr>
          <w:rFonts w:ascii="Times New Roman" w:eastAsia="宋体" w:hAnsi="Times New Roman" w:cs="Times New Roman"/>
          <w:szCs w:val="21"/>
        </w:rPr>
        <w:t>责任论对这一理论进行适当重构。</w:t>
      </w:r>
    </w:p>
    <w:p w:rsidR="004568C1" w:rsidRPr="004568C1" w:rsidRDefault="004568C1" w:rsidP="004568C1">
      <w:pPr>
        <w:spacing w:line="360" w:lineRule="exact"/>
        <w:ind w:firstLineChars="200" w:firstLine="422"/>
        <w:rPr>
          <w:rFonts w:ascii="Times New Roman" w:eastAsia="宋体" w:hAnsi="Times New Roman" w:cs="Times New Roman"/>
          <w:szCs w:val="21"/>
        </w:rPr>
      </w:pPr>
      <w:r w:rsidRPr="004568C1">
        <w:rPr>
          <w:rFonts w:ascii="Times New Roman" w:eastAsia="宋体" w:hAnsi="Times New Roman" w:cs="Times New Roman"/>
          <w:b/>
          <w:szCs w:val="21"/>
        </w:rPr>
        <w:t>关键词：</w:t>
      </w:r>
      <w:r w:rsidRPr="004568C1">
        <w:rPr>
          <w:rFonts w:ascii="Times New Roman" w:eastAsia="宋体" w:hAnsi="Times New Roman" w:cs="Times New Roman"/>
          <w:szCs w:val="21"/>
        </w:rPr>
        <w:t>制定法；习惯法；刑法教义学</w:t>
      </w:r>
    </w:p>
    <w:p w:rsidR="004568C1" w:rsidRPr="004568C1" w:rsidRDefault="004568C1" w:rsidP="004568C1">
      <w:pPr>
        <w:spacing w:line="360" w:lineRule="exact"/>
        <w:rPr>
          <w:rFonts w:ascii="Times New Roman" w:eastAsia="宋体" w:hAnsi="Times New Roman" w:cs="Times New Roman"/>
          <w:szCs w:val="21"/>
        </w:rPr>
      </w:pPr>
    </w:p>
    <w:p w:rsidR="004568C1" w:rsidRPr="004568C1" w:rsidRDefault="004568C1" w:rsidP="004568C1">
      <w:pPr>
        <w:spacing w:line="360" w:lineRule="exact"/>
        <w:ind w:firstLineChars="200" w:firstLine="482"/>
        <w:jc w:val="center"/>
        <w:rPr>
          <w:rFonts w:ascii="Times New Roman" w:eastAsia="宋体" w:hAnsi="Times New Roman" w:cs="Times New Roman"/>
          <w:b/>
          <w:sz w:val="24"/>
          <w:szCs w:val="24"/>
        </w:rPr>
      </w:pPr>
      <w:r w:rsidRPr="004568C1">
        <w:rPr>
          <w:rFonts w:ascii="Times New Roman" w:eastAsia="宋体" w:hAnsi="Times New Roman" w:cs="Times New Roman"/>
          <w:b/>
          <w:sz w:val="24"/>
          <w:szCs w:val="24"/>
        </w:rPr>
        <w:t>一、问题的提出与分析的理路</w:t>
      </w:r>
    </w:p>
    <w:p w:rsidR="004568C1" w:rsidRPr="004568C1" w:rsidRDefault="004568C1" w:rsidP="004568C1">
      <w:pPr>
        <w:spacing w:line="360" w:lineRule="exact"/>
        <w:ind w:firstLineChars="200" w:firstLine="482"/>
        <w:jc w:val="center"/>
        <w:rPr>
          <w:rFonts w:ascii="Times New Roman" w:eastAsia="宋体" w:hAnsi="Times New Roman" w:cs="Times New Roman"/>
          <w:b/>
          <w:sz w:val="24"/>
          <w:szCs w:val="24"/>
        </w:rPr>
      </w:pPr>
    </w:p>
    <w:p w:rsidR="004568C1" w:rsidRPr="004568C1" w:rsidRDefault="004568C1" w:rsidP="004568C1">
      <w:pPr>
        <w:spacing w:line="360" w:lineRule="exact"/>
        <w:ind w:firstLineChars="200" w:firstLine="420"/>
        <w:rPr>
          <w:rFonts w:ascii="Times New Roman" w:eastAsia="宋体" w:hAnsi="Times New Roman" w:cs="Times New Roman"/>
          <w:szCs w:val="21"/>
        </w:rPr>
      </w:pPr>
      <w:r w:rsidRPr="004568C1">
        <w:rPr>
          <w:rFonts w:ascii="Times New Roman" w:eastAsia="宋体" w:hAnsi="Times New Roman" w:cs="Times New Roman"/>
          <w:szCs w:val="21"/>
        </w:rPr>
        <w:t>应当说，不论是在我国少数民族聚居地区，还是在我国法制发展相对发达地区，习惯法都以不同形式在不同程度上于我国刑事司法实践中真实存在着。</w:t>
      </w:r>
      <w:r>
        <w:rPr>
          <w:rStyle w:val="a6"/>
          <w:rFonts w:ascii="Times New Roman" w:eastAsia="宋体" w:hAnsi="Times New Roman" w:cs="Times New Roman"/>
          <w:szCs w:val="21"/>
        </w:rPr>
        <w:footnoteReference w:id="2"/>
      </w:r>
      <w:r w:rsidRPr="004568C1">
        <w:rPr>
          <w:rFonts w:ascii="Times New Roman" w:eastAsia="宋体" w:hAnsi="Times New Roman" w:cs="Times New Roman"/>
          <w:szCs w:val="21"/>
        </w:rPr>
        <w:t>由于制定法与习惯法各自赖以存在的文化基础的巨大差异，对同一行为之评价常有抵牾与冲突。因此，在司法实践中常有某行为在习惯法上被认为是正当但制定法认为是犯罪的情形，反之，某行为被习惯法认为是</w:t>
      </w:r>
      <w:r w:rsidRPr="004568C1">
        <w:rPr>
          <w:rFonts w:ascii="Times New Roman" w:eastAsia="宋体" w:hAnsi="Times New Roman" w:cs="Times New Roman"/>
          <w:szCs w:val="21"/>
        </w:rPr>
        <w:t>“</w:t>
      </w:r>
      <w:r w:rsidRPr="004568C1">
        <w:rPr>
          <w:rFonts w:ascii="Times New Roman" w:eastAsia="宋体" w:hAnsi="Times New Roman" w:cs="Times New Roman"/>
          <w:szCs w:val="21"/>
        </w:rPr>
        <w:t>犯罪</w:t>
      </w:r>
      <w:r w:rsidRPr="004568C1">
        <w:rPr>
          <w:rFonts w:ascii="Times New Roman" w:eastAsia="宋体" w:hAnsi="Times New Roman" w:cs="Times New Roman"/>
          <w:szCs w:val="21"/>
        </w:rPr>
        <w:t>”</w:t>
      </w:r>
      <w:r w:rsidRPr="004568C1">
        <w:rPr>
          <w:rFonts w:ascii="Times New Roman" w:eastAsia="宋体" w:hAnsi="Times New Roman" w:cs="Times New Roman"/>
          <w:szCs w:val="21"/>
        </w:rPr>
        <w:t>而制定法不作评价的情形亦有之。对于后一情形，因依</w:t>
      </w:r>
      <w:r w:rsidRPr="004568C1">
        <w:rPr>
          <w:rFonts w:ascii="Times New Roman" w:eastAsia="宋体" w:hAnsi="Times New Roman" w:cs="Times New Roman"/>
          <w:szCs w:val="21"/>
        </w:rPr>
        <w:t>97</w:t>
      </w:r>
      <w:r w:rsidRPr="004568C1">
        <w:rPr>
          <w:rFonts w:ascii="Times New Roman" w:eastAsia="宋体" w:hAnsi="Times New Roman" w:cs="Times New Roman"/>
          <w:szCs w:val="21"/>
        </w:rPr>
        <w:t>刑法典确立的罪刑法定主义原则，在制定法上没有规定为犯罪的行为自不应当作为犯罪处理，实践中也罕有异议。然而，对于前一情形，究竟是要舍习惯法于不顾还是应</w:t>
      </w:r>
      <w:proofErr w:type="gramStart"/>
      <w:r w:rsidRPr="004568C1">
        <w:rPr>
          <w:rFonts w:ascii="Times New Roman" w:eastAsia="宋体" w:hAnsi="Times New Roman" w:cs="Times New Roman"/>
          <w:szCs w:val="21"/>
        </w:rPr>
        <w:t>弃制定</w:t>
      </w:r>
      <w:proofErr w:type="gramEnd"/>
      <w:r w:rsidRPr="004568C1">
        <w:rPr>
          <w:rFonts w:ascii="Times New Roman" w:eastAsia="宋体" w:hAnsi="Times New Roman" w:cs="Times New Roman"/>
          <w:szCs w:val="21"/>
        </w:rPr>
        <w:t>法于一旁，司法人员时常倍感困惑。让我们先看下面三则事案：</w:t>
      </w:r>
    </w:p>
    <w:p w:rsidR="004568C1" w:rsidRPr="004568C1" w:rsidRDefault="004568C1" w:rsidP="004568C1">
      <w:pPr>
        <w:spacing w:line="360" w:lineRule="exact"/>
        <w:ind w:firstLineChars="200" w:firstLine="422"/>
        <w:rPr>
          <w:rFonts w:ascii="Times New Roman" w:eastAsia="宋体" w:hAnsi="Times New Roman" w:cs="Times New Roman"/>
          <w:b/>
          <w:szCs w:val="21"/>
        </w:rPr>
      </w:pPr>
      <w:r w:rsidRPr="004568C1">
        <w:rPr>
          <w:rFonts w:ascii="Times New Roman" w:eastAsia="宋体" w:hAnsi="Times New Roman" w:cs="Times New Roman"/>
          <w:b/>
          <w:szCs w:val="21"/>
        </w:rPr>
        <w:t>（一）案例与问题</w:t>
      </w:r>
    </w:p>
    <w:p w:rsidR="00F73C0D" w:rsidRPr="00931F49" w:rsidRDefault="004568C1" w:rsidP="00931F49">
      <w:pPr>
        <w:spacing w:line="360" w:lineRule="exact"/>
        <w:ind w:firstLineChars="200" w:firstLine="422"/>
        <w:rPr>
          <w:rFonts w:ascii="Times New Roman" w:eastAsia="宋体" w:hAnsi="Times New Roman" w:cs="Times New Roman"/>
          <w:szCs w:val="21"/>
        </w:rPr>
      </w:pPr>
      <w:r w:rsidRPr="004568C1">
        <w:rPr>
          <w:rFonts w:ascii="Times New Roman" w:eastAsia="宋体" w:hAnsi="Times New Roman" w:cs="Times New Roman"/>
          <w:b/>
          <w:szCs w:val="21"/>
        </w:rPr>
        <w:t>[</w:t>
      </w:r>
      <w:r w:rsidRPr="004568C1">
        <w:rPr>
          <w:rFonts w:ascii="Times New Roman" w:eastAsia="宋体" w:hAnsi="Times New Roman" w:cs="Times New Roman"/>
          <w:b/>
          <w:szCs w:val="21"/>
        </w:rPr>
        <w:t>案例</w:t>
      </w:r>
      <w:r w:rsidRPr="004568C1">
        <w:rPr>
          <w:rFonts w:ascii="Times New Roman" w:eastAsia="宋体" w:hAnsi="Times New Roman" w:cs="Times New Roman"/>
          <w:b/>
          <w:szCs w:val="21"/>
        </w:rPr>
        <w:t>1]</w:t>
      </w:r>
      <w:r w:rsidRPr="004568C1">
        <w:rPr>
          <w:rFonts w:ascii="Times New Roman" w:eastAsia="宋体" w:hAnsi="Times New Roman" w:cs="Times New Roman"/>
          <w:szCs w:val="21"/>
        </w:rPr>
        <w:t xml:space="preserve"> </w:t>
      </w:r>
      <w:r w:rsidRPr="004568C1">
        <w:rPr>
          <w:rFonts w:ascii="Times New Roman" w:eastAsia="宋体" w:hAnsi="Times New Roman" w:cs="Times New Roman"/>
          <w:szCs w:val="21"/>
        </w:rPr>
        <w:t>地处云南的哈尼族有一习俗，如果几个小伙子看到长得好的姑娘就会一同上去用手乱摸，在当地看来这并不是对姑娘的凌辱，反而表示姑娘很受欢迎，俗称</w:t>
      </w:r>
      <w:r w:rsidRPr="004568C1">
        <w:rPr>
          <w:rFonts w:ascii="Times New Roman" w:eastAsia="宋体" w:hAnsi="Times New Roman" w:cs="Times New Roman"/>
          <w:szCs w:val="21"/>
        </w:rPr>
        <w:t>“</w:t>
      </w:r>
      <w:r w:rsidRPr="004568C1">
        <w:rPr>
          <w:rFonts w:ascii="Times New Roman" w:eastAsia="宋体" w:hAnsi="Times New Roman" w:cs="Times New Roman"/>
          <w:szCs w:val="21"/>
        </w:rPr>
        <w:t>然民干</w:t>
      </w:r>
      <w:r w:rsidRPr="004568C1">
        <w:rPr>
          <w:rFonts w:ascii="Times New Roman" w:eastAsia="宋体" w:hAnsi="Times New Roman" w:cs="Times New Roman"/>
          <w:szCs w:val="21"/>
        </w:rPr>
        <w:t>”</w:t>
      </w:r>
      <w:r w:rsidRPr="004568C1">
        <w:rPr>
          <w:rFonts w:ascii="Times New Roman" w:eastAsia="宋体" w:hAnsi="Times New Roman" w:cs="Times New Roman"/>
          <w:szCs w:val="21"/>
        </w:rPr>
        <w:t>习俗。一天，几个汉族男子在乘车时看到两个哈尼族小姑娘坐在路边，便商量好去摸，把这两个小姑娘弄的乱叫，内衣也被扯掉了。该案进入了司法程序后，对于行为人是否因习俗不成立犯罪，被告辩护律师与检察官存在激烈分歧。</w:t>
      </w:r>
      <w:r w:rsidRPr="004568C1">
        <w:rPr>
          <w:rFonts w:ascii="Times New Roman" w:eastAsia="宋体" w:hAnsi="Times New Roman" w:cs="Times New Roman"/>
          <w:szCs w:val="21"/>
          <w:vertAlign w:val="superscript"/>
        </w:rPr>
        <w:footnoteReference w:id="3"/>
      </w:r>
      <w:bookmarkStart w:id="0" w:name="_GoBack"/>
      <w:bookmarkEnd w:id="0"/>
    </w:p>
    <w:sectPr w:rsidR="00F73C0D" w:rsidRPr="00931F49" w:rsidSect="00F73C0D">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422" w:rsidRDefault="00E80422" w:rsidP="005D4678">
      <w:r>
        <w:separator/>
      </w:r>
    </w:p>
  </w:endnote>
  <w:endnote w:type="continuationSeparator" w:id="0">
    <w:p w:rsidR="00E80422" w:rsidRDefault="00E80422" w:rsidP="005D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422" w:rsidRDefault="00E80422" w:rsidP="005D4678">
      <w:r>
        <w:separator/>
      </w:r>
    </w:p>
  </w:footnote>
  <w:footnote w:type="continuationSeparator" w:id="0">
    <w:p w:rsidR="00E80422" w:rsidRDefault="00E80422" w:rsidP="005D4678">
      <w:r>
        <w:continuationSeparator/>
      </w:r>
    </w:p>
  </w:footnote>
  <w:footnote w:id="1">
    <w:p w:rsidR="004568C1" w:rsidRPr="004568C1" w:rsidRDefault="004568C1">
      <w:pPr>
        <w:pStyle w:val="a5"/>
      </w:pPr>
      <w:r>
        <w:rPr>
          <w:rStyle w:val="a6"/>
        </w:rPr>
        <w:t>*</w:t>
      </w:r>
      <w:r>
        <w:rPr>
          <w:rFonts w:hint="eastAsia"/>
        </w:rPr>
        <w:t xml:space="preserve"> </w:t>
      </w:r>
      <w:r w:rsidR="00FA55A7">
        <w:rPr>
          <w:rFonts w:hint="eastAsia"/>
        </w:rPr>
        <w:t>XXX</w:t>
      </w:r>
      <w:r w:rsidR="00A867AC">
        <w:rPr>
          <w:rFonts w:hint="eastAsia"/>
        </w:rPr>
        <w:t>（</w:t>
      </w:r>
      <w:r w:rsidR="00A867AC">
        <w:rPr>
          <w:rFonts w:hint="eastAsia"/>
        </w:rPr>
        <w:t>19</w:t>
      </w:r>
      <w:r w:rsidR="00FA55A7">
        <w:rPr>
          <w:rFonts w:hint="eastAsia"/>
        </w:rPr>
        <w:t>XX</w:t>
      </w:r>
      <w:r w:rsidR="00A867AC">
        <w:rPr>
          <w:rFonts w:hint="eastAsia"/>
        </w:rPr>
        <w:t>-</w:t>
      </w:r>
      <w:r w:rsidR="00A867AC">
        <w:rPr>
          <w:rFonts w:hint="eastAsia"/>
        </w:rPr>
        <w:t>）</w:t>
      </w:r>
      <w:r w:rsidRPr="004568C1">
        <w:rPr>
          <w:rFonts w:hint="eastAsia"/>
        </w:rPr>
        <w:t>，</w:t>
      </w:r>
      <w:r w:rsidR="00FA55A7">
        <w:rPr>
          <w:rFonts w:hint="eastAsia"/>
        </w:rPr>
        <w:t>XX</w:t>
      </w:r>
      <w:r w:rsidRPr="004568C1">
        <w:rPr>
          <w:rFonts w:hint="eastAsia"/>
        </w:rPr>
        <w:t>大学法学院博士研究生，</w:t>
      </w:r>
      <w:r w:rsidR="00987773">
        <w:rPr>
          <w:rFonts w:hint="eastAsia"/>
        </w:rPr>
        <w:t>主要</w:t>
      </w:r>
      <w:r w:rsidR="00A867AC">
        <w:rPr>
          <w:rFonts w:hint="eastAsia"/>
        </w:rPr>
        <w:t>研究方向：刑法解释学。</w:t>
      </w:r>
    </w:p>
  </w:footnote>
  <w:footnote w:id="2">
    <w:p w:rsidR="004568C1" w:rsidRPr="004568C1" w:rsidRDefault="004568C1">
      <w:pPr>
        <w:pStyle w:val="a5"/>
      </w:pPr>
      <w:r>
        <w:rPr>
          <w:rStyle w:val="a6"/>
        </w:rPr>
        <w:footnoteRef/>
      </w:r>
      <w:r>
        <w:rPr>
          <w:rFonts w:hint="eastAsia"/>
        </w:rPr>
        <w:t xml:space="preserve"> </w:t>
      </w:r>
      <w:r w:rsidRPr="004568C1">
        <w:rPr>
          <w:rFonts w:hint="eastAsia"/>
        </w:rPr>
        <w:t>参</w:t>
      </w:r>
      <w:r>
        <w:rPr>
          <w:rFonts w:hint="eastAsia"/>
        </w:rPr>
        <w:t>见</w:t>
      </w:r>
      <w:r w:rsidRPr="004568C1">
        <w:rPr>
          <w:rFonts w:hint="eastAsia"/>
        </w:rPr>
        <w:t>杜宇：《重拾一种被放逐的知识传统——刑法视域中“习惯法”的初步考察》，北京大学出版社</w:t>
      </w:r>
      <w:r w:rsidRPr="004568C1">
        <w:rPr>
          <w:rFonts w:hint="eastAsia"/>
        </w:rPr>
        <w:t>2005</w:t>
      </w:r>
      <w:r w:rsidRPr="004568C1">
        <w:rPr>
          <w:rFonts w:hint="eastAsia"/>
        </w:rPr>
        <w:t>年版，第</w:t>
      </w:r>
      <w:r w:rsidRPr="004568C1">
        <w:rPr>
          <w:rFonts w:hint="eastAsia"/>
        </w:rPr>
        <w:t>54</w:t>
      </w:r>
      <w:r w:rsidRPr="004568C1">
        <w:rPr>
          <w:rFonts w:hint="eastAsia"/>
        </w:rPr>
        <w:t>页以下。</w:t>
      </w:r>
    </w:p>
  </w:footnote>
  <w:footnote w:id="3">
    <w:p w:rsidR="004568C1" w:rsidRPr="001855D7" w:rsidRDefault="004568C1" w:rsidP="004568C1">
      <w:pPr>
        <w:pStyle w:val="a5"/>
        <w:rPr>
          <w:rFonts w:ascii="Times New Roman" w:hAnsi="Times New Roman"/>
        </w:rPr>
      </w:pPr>
      <w:r w:rsidRPr="001855D7">
        <w:rPr>
          <w:rStyle w:val="a6"/>
          <w:rFonts w:ascii="Times New Roman" w:hAnsi="Times New Roman"/>
        </w:rPr>
        <w:footnoteRef/>
      </w:r>
      <w:r w:rsidRPr="001855D7">
        <w:rPr>
          <w:rFonts w:ascii="Times New Roman" w:hAnsi="Times New Roman"/>
        </w:rPr>
        <w:t xml:space="preserve"> </w:t>
      </w:r>
      <w:proofErr w:type="gramStart"/>
      <w:r>
        <w:rPr>
          <w:rFonts w:ascii="Times New Roman" w:hAnsi="Times New Roman" w:hint="eastAsia"/>
        </w:rPr>
        <w:t>参见</w:t>
      </w:r>
      <w:r w:rsidRPr="001855D7">
        <w:rPr>
          <w:rFonts w:ascii="Times New Roman" w:hAnsi="Times New Roman"/>
        </w:rPr>
        <w:t>方慧主编</w:t>
      </w:r>
      <w:proofErr w:type="gramEnd"/>
      <w:r w:rsidRPr="001855D7">
        <w:rPr>
          <w:rFonts w:ascii="Times New Roman" w:hAnsi="Times New Roman"/>
        </w:rPr>
        <w:t>：《少数民族地区习俗与法律的调适</w:t>
      </w:r>
      <w:r w:rsidRPr="001855D7">
        <w:rPr>
          <w:rFonts w:ascii="Times New Roman" w:hAnsi="Times New Roman"/>
        </w:rPr>
        <w:t>——</w:t>
      </w:r>
      <w:r w:rsidRPr="001855D7">
        <w:rPr>
          <w:rFonts w:ascii="Times New Roman" w:hAnsi="Times New Roman"/>
        </w:rPr>
        <w:t>以云南省金平苗族瑶族傣族自治县为中心的案例研究》，中国社会科学出版社</w:t>
      </w:r>
      <w:r w:rsidRPr="001855D7">
        <w:rPr>
          <w:rFonts w:ascii="Times New Roman" w:hAnsi="Times New Roman"/>
        </w:rPr>
        <w:t>2006</w:t>
      </w:r>
      <w:r w:rsidRPr="001855D7">
        <w:rPr>
          <w:rFonts w:ascii="Times New Roman" w:hAnsi="Times New Roman"/>
        </w:rPr>
        <w:t>年版，第</w:t>
      </w:r>
      <w:r w:rsidRPr="001855D7">
        <w:rPr>
          <w:rFonts w:ascii="Times New Roman" w:hAnsi="Times New Roman"/>
        </w:rPr>
        <w:t>323</w:t>
      </w:r>
      <w:r w:rsidRPr="001855D7">
        <w:rPr>
          <w:rFonts w:ascii="Times New Roman" w:hAnsi="Times New Roman"/>
        </w:rPr>
        <w:t>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3594"/>
    <w:rsid w:val="002F3594"/>
    <w:rsid w:val="004568C1"/>
    <w:rsid w:val="005D4678"/>
    <w:rsid w:val="007A34B9"/>
    <w:rsid w:val="00931F49"/>
    <w:rsid w:val="00987773"/>
    <w:rsid w:val="00A867AC"/>
    <w:rsid w:val="00DE0D1B"/>
    <w:rsid w:val="00E80422"/>
    <w:rsid w:val="00F73C0D"/>
    <w:rsid w:val="00FA5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6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4678"/>
    <w:rPr>
      <w:sz w:val="18"/>
      <w:szCs w:val="18"/>
    </w:rPr>
  </w:style>
  <w:style w:type="paragraph" w:styleId="a4">
    <w:name w:val="footer"/>
    <w:basedOn w:val="a"/>
    <w:link w:val="Char0"/>
    <w:uiPriority w:val="99"/>
    <w:unhideWhenUsed/>
    <w:rsid w:val="005D4678"/>
    <w:pPr>
      <w:tabs>
        <w:tab w:val="center" w:pos="4153"/>
        <w:tab w:val="right" w:pos="8306"/>
      </w:tabs>
      <w:snapToGrid w:val="0"/>
      <w:jc w:val="left"/>
    </w:pPr>
    <w:rPr>
      <w:sz w:val="18"/>
      <w:szCs w:val="18"/>
    </w:rPr>
  </w:style>
  <w:style w:type="character" w:customStyle="1" w:styleId="Char0">
    <w:name w:val="页脚 Char"/>
    <w:basedOn w:val="a0"/>
    <w:link w:val="a4"/>
    <w:uiPriority w:val="99"/>
    <w:rsid w:val="005D4678"/>
    <w:rPr>
      <w:sz w:val="18"/>
      <w:szCs w:val="18"/>
    </w:rPr>
  </w:style>
  <w:style w:type="paragraph" w:styleId="a5">
    <w:name w:val="footnote text"/>
    <w:basedOn w:val="a"/>
    <w:link w:val="Char1"/>
    <w:uiPriority w:val="99"/>
    <w:semiHidden/>
    <w:unhideWhenUsed/>
    <w:rsid w:val="004568C1"/>
    <w:pPr>
      <w:snapToGrid w:val="0"/>
      <w:jc w:val="left"/>
    </w:pPr>
    <w:rPr>
      <w:rFonts w:ascii="Calibri" w:eastAsia="宋体" w:hAnsi="Calibri" w:cs="Times New Roman"/>
      <w:sz w:val="18"/>
      <w:szCs w:val="18"/>
    </w:rPr>
  </w:style>
  <w:style w:type="character" w:customStyle="1" w:styleId="Char1">
    <w:name w:val="脚注文本 Char"/>
    <w:basedOn w:val="a0"/>
    <w:link w:val="a5"/>
    <w:uiPriority w:val="99"/>
    <w:semiHidden/>
    <w:rsid w:val="004568C1"/>
    <w:rPr>
      <w:rFonts w:ascii="Calibri" w:eastAsia="宋体" w:hAnsi="Calibri" w:cs="Times New Roman"/>
      <w:sz w:val="18"/>
      <w:szCs w:val="18"/>
    </w:rPr>
  </w:style>
  <w:style w:type="character" w:styleId="a6">
    <w:name w:val="footnote reference"/>
    <w:uiPriority w:val="99"/>
    <w:semiHidden/>
    <w:unhideWhenUsed/>
    <w:rsid w:val="004568C1"/>
    <w:rPr>
      <w:vertAlign w:val="superscript"/>
    </w:rPr>
  </w:style>
  <w:style w:type="paragraph" w:styleId="a7">
    <w:name w:val="Balloon Text"/>
    <w:basedOn w:val="a"/>
    <w:link w:val="Char2"/>
    <w:uiPriority w:val="99"/>
    <w:semiHidden/>
    <w:unhideWhenUsed/>
    <w:rsid w:val="00931F49"/>
    <w:rPr>
      <w:sz w:val="18"/>
      <w:szCs w:val="18"/>
    </w:rPr>
  </w:style>
  <w:style w:type="character" w:customStyle="1" w:styleId="Char2">
    <w:name w:val="批注框文本 Char"/>
    <w:basedOn w:val="a0"/>
    <w:link w:val="a7"/>
    <w:uiPriority w:val="99"/>
    <w:semiHidden/>
    <w:rsid w:val="00931F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35753">
      <w:bodyDiv w:val="1"/>
      <w:marLeft w:val="0"/>
      <w:marRight w:val="0"/>
      <w:marTop w:val="0"/>
      <w:marBottom w:val="0"/>
      <w:divBdr>
        <w:top w:val="none" w:sz="0" w:space="0" w:color="auto"/>
        <w:left w:val="none" w:sz="0" w:space="0" w:color="auto"/>
        <w:bottom w:val="none" w:sz="0" w:space="0" w:color="auto"/>
        <w:right w:val="none" w:sz="0" w:space="0" w:color="auto"/>
      </w:divBdr>
      <w:divsChild>
        <w:div w:id="113716187">
          <w:marLeft w:val="0"/>
          <w:marRight w:val="0"/>
          <w:marTop w:val="100"/>
          <w:marBottom w:val="100"/>
          <w:divBdr>
            <w:top w:val="none" w:sz="0" w:space="0" w:color="auto"/>
            <w:left w:val="none" w:sz="0" w:space="0" w:color="auto"/>
            <w:bottom w:val="none" w:sz="0" w:space="0" w:color="auto"/>
            <w:right w:val="none" w:sz="0" w:space="0" w:color="auto"/>
          </w:divBdr>
          <w:divsChild>
            <w:div w:id="16464810">
              <w:marLeft w:val="0"/>
              <w:marRight w:val="0"/>
              <w:marTop w:val="150"/>
              <w:marBottom w:val="225"/>
              <w:divBdr>
                <w:top w:val="none" w:sz="0" w:space="0" w:color="auto"/>
                <w:left w:val="none" w:sz="0" w:space="0" w:color="auto"/>
                <w:bottom w:val="none" w:sz="0" w:space="0" w:color="auto"/>
                <w:right w:val="none" w:sz="0" w:space="0" w:color="auto"/>
              </w:divBdr>
              <w:divsChild>
                <w:div w:id="573441154">
                  <w:marLeft w:val="0"/>
                  <w:marRight w:val="0"/>
                  <w:marTop w:val="0"/>
                  <w:marBottom w:val="0"/>
                  <w:divBdr>
                    <w:top w:val="none" w:sz="0" w:space="0" w:color="auto"/>
                    <w:left w:val="none" w:sz="0" w:space="0" w:color="auto"/>
                    <w:bottom w:val="none" w:sz="0" w:space="0" w:color="auto"/>
                    <w:right w:val="none" w:sz="0" w:space="0" w:color="auto"/>
                  </w:divBdr>
                  <w:divsChild>
                    <w:div w:id="11853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94BB-600E-4152-A3ED-981C03EA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256</Words>
  <Characters>1460</Characters>
  <Application>Microsoft Office Word</Application>
  <DocSecurity>0</DocSecurity>
  <Lines>12</Lines>
  <Paragraphs>3</Paragraphs>
  <ScaleCrop>false</ScaleCrop>
  <Company>china</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2017-01-04T01:45:00Z</cp:lastPrinted>
  <dcterms:created xsi:type="dcterms:W3CDTF">2016-11-14T02:16:00Z</dcterms:created>
  <dcterms:modified xsi:type="dcterms:W3CDTF">2017-01-04T07:24:00Z</dcterms:modified>
</cp:coreProperties>
</file>